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C098" w14:textId="77777777" w:rsidR="00FA686A" w:rsidRDefault="00FA686A">
      <w:pPr>
        <w:pStyle w:val="Heading1"/>
        <w:rPr>
          <w:rFonts w:asciiTheme="majorHAnsi" w:hAnsiTheme="majorHAnsi" w:cstheme="majorHAnsi"/>
        </w:rPr>
      </w:pPr>
      <w:bookmarkStart w:id="0" w:name="_io294jtg7dxc" w:colFirst="0" w:colLast="0"/>
      <w:bookmarkEnd w:id="0"/>
    </w:p>
    <w:p w14:paraId="4DCCEB7E" w14:textId="77777777" w:rsidR="00FA686A" w:rsidRDefault="00FA686A">
      <w:pPr>
        <w:pStyle w:val="Heading1"/>
        <w:rPr>
          <w:rFonts w:asciiTheme="majorHAnsi" w:hAnsiTheme="majorHAnsi" w:cstheme="majorHAnsi"/>
        </w:rPr>
      </w:pPr>
    </w:p>
    <w:p w14:paraId="6CD9A7B8" w14:textId="78902AF5" w:rsidR="00D457FF" w:rsidRPr="00FA686A" w:rsidRDefault="000D0806">
      <w:pPr>
        <w:pStyle w:val="Heading1"/>
        <w:rPr>
          <w:rFonts w:asciiTheme="majorHAnsi" w:hAnsiTheme="majorHAnsi" w:cstheme="majorHAnsi"/>
        </w:rPr>
      </w:pPr>
      <w:bookmarkStart w:id="1" w:name="_GoBack"/>
      <w:bookmarkEnd w:id="1"/>
      <w:r w:rsidRPr="00FA686A">
        <w:rPr>
          <w:rFonts w:asciiTheme="majorHAnsi" w:hAnsiTheme="majorHAnsi" w:cstheme="majorHAnsi"/>
        </w:rPr>
        <w:t>PARA Equity Impact Assessment (EIA) Tool</w:t>
      </w:r>
    </w:p>
    <w:p w14:paraId="75042BD6" w14:textId="77777777" w:rsidR="00D457FF" w:rsidRPr="00FA686A" w:rsidRDefault="000D0806">
      <w:p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>Version: January 27, 2022</w:t>
      </w:r>
    </w:p>
    <w:p w14:paraId="3C12A375" w14:textId="77777777" w:rsidR="00D457FF" w:rsidRPr="00FA686A" w:rsidRDefault="000D0806">
      <w:pPr>
        <w:pStyle w:val="Heading1"/>
        <w:rPr>
          <w:rFonts w:asciiTheme="majorHAnsi" w:hAnsiTheme="majorHAnsi" w:cstheme="majorHAnsi"/>
        </w:rPr>
      </w:pPr>
      <w:bookmarkStart w:id="2" w:name="_2m5edcgknn9i" w:colFirst="0" w:colLast="0"/>
      <w:bookmarkEnd w:id="2"/>
      <w:r w:rsidRPr="00FA686A">
        <w:rPr>
          <w:rFonts w:asciiTheme="majorHAnsi" w:hAnsiTheme="majorHAnsi" w:cstheme="majorHAnsi"/>
        </w:rPr>
        <w:t>Recommended process for using the tool</w:t>
      </w:r>
    </w:p>
    <w:p w14:paraId="32159CF1" w14:textId="77777777" w:rsidR="00D457FF" w:rsidRPr="00FA686A" w:rsidRDefault="000D0806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Organize a meeting with members from PARA staff, executive board, and general resident membership. </w:t>
      </w:r>
    </w:p>
    <w:p w14:paraId="02329070" w14:textId="77777777" w:rsidR="00D457FF" w:rsidRPr="00FA686A" w:rsidRDefault="000D0806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>Describe a proposed event, initiative, or policy to everyone in the meeting. Ensure meeting participants can see the “list of resident groups” in the Equity Impact Assessment tool.</w:t>
      </w:r>
    </w:p>
    <w:p w14:paraId="68DBC5B8" w14:textId="77777777" w:rsidR="00D457FF" w:rsidRPr="00FA686A" w:rsidRDefault="000D0806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Discuss the potential positive and negative impacts of the proposed event, </w:t>
      </w:r>
      <w:r w:rsidRPr="00FA686A">
        <w:rPr>
          <w:rFonts w:asciiTheme="majorHAnsi" w:hAnsiTheme="majorHAnsi" w:cstheme="majorHAnsi"/>
        </w:rPr>
        <w:t xml:space="preserve">initiative, or policy to different resident groups. Discuss ways PARA can maximize the identified positive impacts and minimize the identified negative impacts. </w:t>
      </w:r>
    </w:p>
    <w:p w14:paraId="523D040E" w14:textId="77777777" w:rsidR="00D457FF" w:rsidRPr="00FA686A" w:rsidRDefault="000D080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>Note: The discussion should flow naturally and usually does not need to cover every resident g</w:t>
      </w:r>
      <w:r w:rsidRPr="00FA686A">
        <w:rPr>
          <w:rFonts w:asciiTheme="majorHAnsi" w:hAnsiTheme="majorHAnsi" w:cstheme="majorHAnsi"/>
        </w:rPr>
        <w:t xml:space="preserve">roup. </w:t>
      </w:r>
    </w:p>
    <w:p w14:paraId="09D16043" w14:textId="77777777" w:rsidR="00D457FF" w:rsidRPr="00FA686A" w:rsidRDefault="000D080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Note: An organizer should take discussion notes in the Equity Impact Assessment Tool. </w:t>
      </w:r>
    </w:p>
    <w:p w14:paraId="40668F48" w14:textId="77777777" w:rsidR="00D457FF" w:rsidRPr="00FA686A" w:rsidRDefault="000D0806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At the end of the meeting, discuss how the EIA process went using question #1 in “Evaluation and Communication”. </w:t>
      </w:r>
    </w:p>
    <w:p w14:paraId="399385B0" w14:textId="77777777" w:rsidR="00D457FF" w:rsidRPr="00FA686A" w:rsidRDefault="000D0806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>After completing the event, initiative, or polic</w:t>
      </w:r>
      <w:r w:rsidRPr="00FA686A">
        <w:rPr>
          <w:rFonts w:asciiTheme="majorHAnsi" w:hAnsiTheme="majorHAnsi" w:cstheme="majorHAnsi"/>
        </w:rPr>
        <w:t xml:space="preserve">y, document what changes were made using questions #2-4 in “Evaluation and Communication”. </w:t>
      </w:r>
    </w:p>
    <w:p w14:paraId="6B7C842E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22E7D159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325707E5" w14:textId="77777777" w:rsidR="00D457FF" w:rsidRPr="00FA686A" w:rsidRDefault="000D0806">
      <w:pPr>
        <w:rPr>
          <w:rFonts w:asciiTheme="majorHAnsi" w:hAnsiTheme="majorHAnsi" w:cstheme="majorHAnsi"/>
        </w:rPr>
      </w:pPr>
      <w:r w:rsidRPr="000D0806">
        <w:rPr>
          <w:rFonts w:asciiTheme="majorHAnsi" w:hAnsiTheme="majorHAnsi" w:cstheme="majorHAnsi"/>
          <w:noProof/>
        </w:rPr>
        <w:pict w14:anchorId="74E3AF69">
          <v:rect id="_x0000_i1026" alt="" style="width:9in;height:.05pt;mso-width-percent:0;mso-height-percent:0;mso-width-percent:0;mso-height-percent:0" o:hralign="center" o:hrstd="t" o:hr="t" fillcolor="#a0a0a0" stroked="f"/>
        </w:pict>
      </w:r>
    </w:p>
    <w:p w14:paraId="4FD69762" w14:textId="77777777" w:rsidR="00D457FF" w:rsidRPr="00FA686A" w:rsidRDefault="000D0806">
      <w:p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br w:type="page"/>
      </w:r>
    </w:p>
    <w:p w14:paraId="6916B2D2" w14:textId="735003A5" w:rsidR="00FA686A" w:rsidRDefault="00FA686A">
      <w:pPr>
        <w:pStyle w:val="Heading1"/>
        <w:rPr>
          <w:rFonts w:asciiTheme="majorHAnsi" w:hAnsiTheme="majorHAnsi" w:cstheme="majorHAnsi"/>
        </w:rPr>
      </w:pPr>
      <w:bookmarkStart w:id="3" w:name="_h80f51479s2n" w:colFirst="0" w:colLast="0"/>
      <w:bookmarkEnd w:id="3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784A9C" wp14:editId="566AED0E">
            <wp:simplePos x="0" y="0"/>
            <wp:positionH relativeFrom="margin">
              <wp:posOffset>2470150</wp:posOffset>
            </wp:positionH>
            <wp:positionV relativeFrom="margin">
              <wp:posOffset>-747571</wp:posOffset>
            </wp:positionV>
            <wp:extent cx="3287395" cy="1226185"/>
            <wp:effectExtent l="0" t="0" r="190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AAB_LOGO_HORIZONTAL_FULL_STANDARD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F637F" w14:textId="77777777" w:rsidR="00FA686A" w:rsidRDefault="00FA686A" w:rsidP="00FA686A">
      <w:pPr>
        <w:pStyle w:val="NoSpacing"/>
        <w:rPr>
          <w:rFonts w:asciiTheme="majorHAnsi" w:hAnsiTheme="majorHAnsi" w:cstheme="majorHAnsi"/>
          <w:sz w:val="40"/>
          <w:szCs w:val="40"/>
        </w:rPr>
      </w:pPr>
    </w:p>
    <w:p w14:paraId="767A7778" w14:textId="5F1510B9" w:rsidR="00D457FF" w:rsidRPr="00FA686A" w:rsidRDefault="000D0806" w:rsidP="00FA686A">
      <w:pPr>
        <w:pStyle w:val="NoSpacing"/>
        <w:rPr>
          <w:rFonts w:asciiTheme="majorHAnsi" w:hAnsiTheme="majorHAnsi" w:cstheme="majorHAnsi"/>
          <w:sz w:val="40"/>
          <w:szCs w:val="40"/>
        </w:rPr>
      </w:pPr>
      <w:r w:rsidRPr="00FA686A">
        <w:rPr>
          <w:rFonts w:asciiTheme="majorHAnsi" w:hAnsiTheme="majorHAnsi" w:cstheme="majorHAnsi"/>
          <w:sz w:val="40"/>
          <w:szCs w:val="40"/>
        </w:rPr>
        <w:t>The Equity Impact Assessment (EIA) Tool</w:t>
      </w:r>
    </w:p>
    <w:p w14:paraId="534633DF" w14:textId="77777777" w:rsidR="00D457FF" w:rsidRPr="00FA686A" w:rsidRDefault="000D0806">
      <w:pPr>
        <w:rPr>
          <w:rFonts w:asciiTheme="majorHAnsi" w:hAnsiTheme="majorHAnsi" w:cstheme="majorHAnsi"/>
          <w:i/>
        </w:rPr>
      </w:pPr>
      <w:r w:rsidRPr="00FA686A">
        <w:rPr>
          <w:rFonts w:asciiTheme="majorHAnsi" w:hAnsiTheme="majorHAnsi" w:cstheme="majorHAnsi"/>
          <w:i/>
        </w:rPr>
        <w:t>Scan the resident groups below. Think about how the proposed event/initiative/policy may affect these different groups</w:t>
      </w:r>
      <w:r w:rsidRPr="00FA686A">
        <w:rPr>
          <w:rFonts w:asciiTheme="majorHAnsi" w:hAnsiTheme="majorHAnsi" w:cstheme="majorHAnsi"/>
          <w:i/>
        </w:rPr>
        <w:t xml:space="preserve">. </w:t>
      </w:r>
    </w:p>
    <w:p w14:paraId="4740E6D3" w14:textId="77777777" w:rsidR="00D457FF" w:rsidRPr="00FA686A" w:rsidRDefault="000D0806">
      <w:pPr>
        <w:rPr>
          <w:rFonts w:asciiTheme="majorHAnsi" w:hAnsiTheme="majorHAnsi" w:cstheme="majorHAnsi"/>
          <w:b/>
          <w:i/>
        </w:rPr>
      </w:pPr>
      <w:r w:rsidRPr="00FA686A">
        <w:rPr>
          <w:rFonts w:asciiTheme="majorHAnsi" w:hAnsiTheme="majorHAnsi" w:cstheme="majorHAnsi"/>
          <w:b/>
          <w:i/>
        </w:rPr>
        <w:t xml:space="preserve">Discuss the following: </w:t>
      </w:r>
    </w:p>
    <w:p w14:paraId="1FE40D50" w14:textId="77777777" w:rsidR="00D457FF" w:rsidRPr="00FA686A" w:rsidRDefault="000D0806">
      <w:pPr>
        <w:numPr>
          <w:ilvl w:val="0"/>
          <w:numId w:val="3"/>
        </w:numPr>
        <w:rPr>
          <w:rFonts w:asciiTheme="majorHAnsi" w:hAnsiTheme="majorHAnsi" w:cstheme="majorHAnsi"/>
          <w:b/>
          <w:i/>
        </w:rPr>
      </w:pPr>
      <w:r w:rsidRPr="00FA686A">
        <w:rPr>
          <w:rFonts w:asciiTheme="majorHAnsi" w:hAnsiTheme="majorHAnsi" w:cstheme="majorHAnsi"/>
          <w:b/>
          <w:i/>
        </w:rPr>
        <w:t>What are the potential positive impacts to different resident groups? How can we maximize these impacts?</w:t>
      </w:r>
    </w:p>
    <w:p w14:paraId="0ADF75AE" w14:textId="77777777" w:rsidR="00D457FF" w:rsidRPr="00FA686A" w:rsidRDefault="000D0806">
      <w:pPr>
        <w:numPr>
          <w:ilvl w:val="0"/>
          <w:numId w:val="3"/>
        </w:numPr>
        <w:rPr>
          <w:rFonts w:asciiTheme="majorHAnsi" w:hAnsiTheme="majorHAnsi" w:cstheme="majorHAnsi"/>
          <w:b/>
          <w:i/>
        </w:rPr>
      </w:pPr>
      <w:r w:rsidRPr="00FA686A">
        <w:rPr>
          <w:rFonts w:asciiTheme="majorHAnsi" w:hAnsiTheme="majorHAnsi" w:cstheme="majorHAnsi"/>
          <w:b/>
          <w:i/>
        </w:rPr>
        <w:t>What are the potential negative impacts to different resident groups? How can we minimize or eliminate these impacts?</w:t>
      </w:r>
    </w:p>
    <w:p w14:paraId="39B24FDB" w14:textId="77777777" w:rsidR="00D457FF" w:rsidRPr="00FA686A" w:rsidRDefault="000D0806">
      <w:pPr>
        <w:ind w:firstLine="720"/>
        <w:rPr>
          <w:rFonts w:asciiTheme="majorHAnsi" w:hAnsiTheme="majorHAnsi" w:cstheme="majorHAnsi"/>
          <w:i/>
        </w:rPr>
      </w:pPr>
      <w:r w:rsidRPr="00FA686A">
        <w:rPr>
          <w:rFonts w:asciiTheme="majorHAnsi" w:hAnsiTheme="majorHAnsi" w:cstheme="majorHAnsi"/>
          <w:i/>
        </w:rPr>
        <w:t>*Note:</w:t>
      </w:r>
      <w:r w:rsidRPr="00FA686A">
        <w:rPr>
          <w:rFonts w:asciiTheme="majorHAnsi" w:hAnsiTheme="majorHAnsi" w:cstheme="majorHAnsi"/>
          <w:i/>
        </w:rPr>
        <w:t xml:space="preserve"> the list of resident groups usually does not need to be discussed in entirety</w:t>
      </w:r>
    </w:p>
    <w:p w14:paraId="08AE4E84" w14:textId="77777777" w:rsidR="00D457FF" w:rsidRPr="00FA686A" w:rsidRDefault="00D457FF">
      <w:pPr>
        <w:rPr>
          <w:rFonts w:asciiTheme="majorHAnsi" w:hAnsiTheme="majorHAnsi" w:cstheme="majorHAnsi"/>
        </w:rPr>
      </w:pPr>
    </w:p>
    <w:tbl>
      <w:tblPr>
        <w:tblStyle w:val="a"/>
        <w:tblW w:w="14475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3"/>
        <w:gridCol w:w="5670"/>
        <w:gridCol w:w="6172"/>
      </w:tblGrid>
      <w:tr w:rsidR="00D457FF" w:rsidRPr="00FA686A" w14:paraId="71380FBE" w14:textId="77777777" w:rsidTr="00FA686A">
        <w:trPr>
          <w:trHeight w:val="420"/>
        </w:trPr>
        <w:tc>
          <w:tcPr>
            <w:tcW w:w="263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DC25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4823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FA686A">
              <w:rPr>
                <w:rFonts w:asciiTheme="majorHAnsi" w:hAnsiTheme="majorHAnsi" w:cstheme="majorHAnsi"/>
              </w:rPr>
              <w:t xml:space="preserve">Positive Impacts + </w:t>
            </w:r>
            <w:r w:rsidRPr="00FA686A">
              <w:rPr>
                <w:rFonts w:asciiTheme="majorHAnsi" w:hAnsiTheme="majorHAnsi" w:cstheme="majorHAnsi"/>
                <w:b/>
              </w:rPr>
              <w:t>how to maximize</w:t>
            </w:r>
          </w:p>
        </w:tc>
        <w:tc>
          <w:tcPr>
            <w:tcW w:w="6172" w:type="dxa"/>
            <w:shd w:val="clear" w:color="auto" w:fill="20CB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589C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FA686A">
              <w:rPr>
                <w:rFonts w:asciiTheme="majorHAnsi" w:hAnsiTheme="majorHAnsi" w:cstheme="majorHAnsi"/>
              </w:rPr>
              <w:t xml:space="preserve">Unintended Negative Impacts + </w:t>
            </w:r>
            <w:r w:rsidRPr="00FA686A">
              <w:rPr>
                <w:rFonts w:asciiTheme="majorHAnsi" w:hAnsiTheme="majorHAnsi" w:cstheme="majorHAnsi"/>
                <w:b/>
              </w:rPr>
              <w:t>how to minimize</w:t>
            </w:r>
          </w:p>
        </w:tc>
      </w:tr>
      <w:tr w:rsidR="00D457FF" w:rsidRPr="00FA686A" w14:paraId="175BFF9D" w14:textId="77777777" w:rsidTr="00FA686A">
        <w:trPr>
          <w:trHeight w:val="420"/>
        </w:trPr>
        <w:tc>
          <w:tcPr>
            <w:tcW w:w="14475" w:type="dxa"/>
            <w:gridSpan w:val="3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D946" w14:textId="77777777" w:rsidR="00D457FF" w:rsidRPr="00FA686A" w:rsidRDefault="000D080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A686A">
              <w:rPr>
                <w:rFonts w:asciiTheme="majorHAnsi" w:hAnsiTheme="majorHAnsi" w:cstheme="majorHAnsi"/>
                <w:b/>
                <w:color w:val="FFFFFF" w:themeColor="background1"/>
              </w:rPr>
              <w:t>WORK-RELATED RESIDENT GROUPS</w:t>
            </w:r>
          </w:p>
        </w:tc>
      </w:tr>
      <w:tr w:rsidR="00D457FF" w:rsidRPr="00FA686A" w14:paraId="7D0ECE1B" w14:textId="77777777" w:rsidTr="00FA686A">
        <w:trPr>
          <w:trHeight w:val="42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F1D1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People working rurally/remotely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B936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4819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479FA818" w14:textId="77777777" w:rsidTr="00FA686A">
        <w:trPr>
          <w:trHeight w:val="42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D8A5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IMGs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0F14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43A4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632CB592" w14:textId="77777777" w:rsidTr="00FA686A">
        <w:trPr>
          <w:trHeight w:val="42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7F6D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PGY-1s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6937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3D0C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0C474424" w14:textId="77777777" w:rsidTr="00FA686A">
        <w:trPr>
          <w:trHeight w:val="38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956E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Recently Relocated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6C50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FA41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45AC1CA4" w14:textId="77777777" w:rsidTr="00FA686A">
        <w:trPr>
          <w:trHeight w:val="38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D938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Residents on leave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FF67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E5E3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388DCEEE" w14:textId="77777777" w:rsidTr="00FA686A">
        <w:trPr>
          <w:trHeight w:val="447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9DFC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Residents with Heavy Call/Workload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C7A8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3C4B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69463F79" w14:textId="77777777" w:rsidTr="00FA686A">
        <w:trPr>
          <w:trHeight w:val="38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5774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Shift-work based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D28E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947D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408A8503" w14:textId="77777777" w:rsidTr="00FA686A">
        <w:trPr>
          <w:trHeight w:val="38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EA69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lastRenderedPageBreak/>
              <w:t>Residents from Small Programs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95BD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3418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0C4E6B6D" w14:textId="77777777" w:rsidTr="00FA686A">
        <w:trPr>
          <w:trHeight w:val="380"/>
        </w:trPr>
        <w:tc>
          <w:tcPr>
            <w:tcW w:w="2633" w:type="dxa"/>
            <w:shd w:val="clear" w:color="auto" w:fill="244C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AD84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Other groups (non-clinical, Higher Risk Rotations, </w:t>
            </w:r>
            <w:proofErr w:type="spellStart"/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etc</w:t>
            </w:r>
            <w:proofErr w:type="spellEnd"/>
            <w:r w:rsidRPr="00FA686A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6A3C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4C00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2A9C4EE2" w14:textId="77777777" w:rsidTr="00FA686A">
        <w:trPr>
          <w:trHeight w:val="420"/>
        </w:trPr>
        <w:tc>
          <w:tcPr>
            <w:tcW w:w="14475" w:type="dxa"/>
            <w:gridSpan w:val="3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FCC1" w14:textId="77777777" w:rsidR="00D457FF" w:rsidRPr="00FA686A" w:rsidRDefault="000D080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A686A">
              <w:rPr>
                <w:rFonts w:asciiTheme="majorHAnsi" w:hAnsiTheme="majorHAnsi" w:cstheme="majorHAnsi"/>
                <w:b/>
              </w:rPr>
              <w:t>OTHER RESIDENT GROUPS</w:t>
            </w:r>
          </w:p>
        </w:tc>
      </w:tr>
      <w:tr w:rsidR="00D457FF" w:rsidRPr="00FA686A" w14:paraId="57A9E4D9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F49D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Financially constrained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13EF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9D0D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49143889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2C9A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Parenting/caregiving for family members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ECA2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D0C7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7522B2BE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BC3C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Limited support networks (single, away from hometown)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02D2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EE89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5C4D7B95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1879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Various religious affiliations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BC58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1C0A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79871706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ECB4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Diverse Cultures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8C9C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00A1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5A3FB9E5" w14:textId="77777777" w:rsidTr="00FA686A">
        <w:trPr>
          <w:trHeight w:val="342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28CE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Racialized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48C4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708E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7688F9F8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7CE0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Indigenous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92C9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1B10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12A5F7DA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9208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Newcomers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2F52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44B8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6A10E677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11BC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Physical abilities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FADE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AD883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042AC2AC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4B02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Dietary restrictions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5528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B9AC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6C8F6194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E306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Mental health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5344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3BBB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23BEDBDB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5324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Neurodivergence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66F8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F83B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59A54E3A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3407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Gender/Sexual identity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D7B9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8C53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38954A37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ED80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Various Age Groups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0697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A672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457FF" w:rsidRPr="00FA686A" w14:paraId="392202AD" w14:textId="77777777" w:rsidTr="00FA686A">
        <w:trPr>
          <w:trHeight w:val="380"/>
        </w:trPr>
        <w:tc>
          <w:tcPr>
            <w:tcW w:w="2633" w:type="dxa"/>
            <w:shd w:val="clear" w:color="auto" w:fill="76BD2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01E9" w14:textId="77777777" w:rsidR="00D457FF" w:rsidRPr="00FA686A" w:rsidRDefault="000D0806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A686A">
              <w:rPr>
                <w:rFonts w:asciiTheme="majorHAnsi" w:hAnsiTheme="majorHAnsi" w:cstheme="majorHAnsi"/>
                <w:sz w:val="18"/>
                <w:szCs w:val="18"/>
              </w:rPr>
              <w:t>Other Groups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30FE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68F3" w14:textId="77777777" w:rsidR="00D457FF" w:rsidRPr="00FA686A" w:rsidRDefault="00D457F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8CD7CDD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2E3C1835" w14:textId="77777777" w:rsidR="00D457FF" w:rsidRPr="00FA686A" w:rsidRDefault="000D0806">
      <w:pPr>
        <w:rPr>
          <w:rFonts w:asciiTheme="majorHAnsi" w:hAnsiTheme="majorHAnsi" w:cstheme="majorHAnsi"/>
        </w:rPr>
      </w:pPr>
      <w:r w:rsidRPr="000D0806">
        <w:rPr>
          <w:rFonts w:asciiTheme="majorHAnsi" w:hAnsiTheme="majorHAnsi" w:cstheme="majorHAnsi"/>
          <w:noProof/>
        </w:rPr>
        <w:pict w14:anchorId="254D9EFB">
          <v:rect id="_x0000_i1025" alt="" style="width:9in;height:.05pt;mso-width-percent:0;mso-height-percent:0;mso-width-percent:0;mso-height-percent:0" o:hralign="center" o:hrstd="t" o:hr="t" fillcolor="#a0a0a0" stroked="f"/>
        </w:pict>
      </w:r>
    </w:p>
    <w:p w14:paraId="52796EA3" w14:textId="77777777" w:rsidR="00D457FF" w:rsidRPr="00FA686A" w:rsidRDefault="000D0806">
      <w:pPr>
        <w:pStyle w:val="Heading1"/>
        <w:rPr>
          <w:rFonts w:asciiTheme="majorHAnsi" w:hAnsiTheme="majorHAnsi" w:cstheme="majorHAnsi"/>
        </w:rPr>
      </w:pPr>
      <w:bookmarkStart w:id="4" w:name="_og50y21zx1a2" w:colFirst="0" w:colLast="0"/>
      <w:bookmarkEnd w:id="4"/>
      <w:r w:rsidRPr="00FA686A">
        <w:rPr>
          <w:rFonts w:asciiTheme="majorHAnsi" w:hAnsiTheme="majorHAnsi" w:cstheme="majorHAnsi"/>
        </w:rPr>
        <w:t>Evaluation and Communication</w:t>
      </w:r>
    </w:p>
    <w:p w14:paraId="179644B3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7AD64690" w14:textId="77777777" w:rsidR="00D457FF" w:rsidRPr="00FA686A" w:rsidRDefault="000D0806">
      <w:p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1) How was the EIA process? </w:t>
      </w:r>
    </w:p>
    <w:p w14:paraId="095E03B8" w14:textId="77777777" w:rsidR="00D457FF" w:rsidRPr="00FA686A" w:rsidRDefault="000D080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>Participant feedback:</w:t>
      </w:r>
    </w:p>
    <w:p w14:paraId="76C151A1" w14:textId="77777777" w:rsidR="00D457FF" w:rsidRPr="00FA686A" w:rsidRDefault="000D080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>Organizer feedback:</w:t>
      </w:r>
    </w:p>
    <w:p w14:paraId="716578A2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5CD1D576" w14:textId="77777777" w:rsidR="00D457FF" w:rsidRPr="00FA686A" w:rsidRDefault="000D0806">
      <w:p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2) Were negative impacts minimized? Describe which negative impacts and how they were minimized. </w:t>
      </w:r>
    </w:p>
    <w:p w14:paraId="78F6FE62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3689F2BC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6531D6F5" w14:textId="77777777" w:rsidR="00D457FF" w:rsidRPr="00FA686A" w:rsidRDefault="000D0806">
      <w:p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>3) Were positive impacts maximized? Describe which positive impacts and how they were maximized.</w:t>
      </w:r>
      <w:r w:rsidRPr="00FA686A">
        <w:rPr>
          <w:rFonts w:asciiTheme="majorHAnsi" w:hAnsiTheme="majorHAnsi" w:cstheme="majorHAnsi"/>
        </w:rPr>
        <w:tab/>
      </w:r>
    </w:p>
    <w:p w14:paraId="44106BD7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4505F417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10720028" w14:textId="77777777" w:rsidR="00D457FF" w:rsidRPr="00FA686A" w:rsidRDefault="000D0806">
      <w:p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4) How will you communicate these results, and to whom? </w:t>
      </w:r>
      <w:r w:rsidRPr="00FA686A">
        <w:rPr>
          <w:rFonts w:asciiTheme="majorHAnsi" w:hAnsiTheme="majorHAnsi" w:cstheme="majorHAnsi"/>
        </w:rPr>
        <w:t xml:space="preserve">(Examples: present to assembly, present to executive board, distribute in </w:t>
      </w:r>
      <w:proofErr w:type="spellStart"/>
      <w:r w:rsidRPr="00FA686A">
        <w:rPr>
          <w:rFonts w:asciiTheme="majorHAnsi" w:hAnsiTheme="majorHAnsi" w:cstheme="majorHAnsi"/>
        </w:rPr>
        <w:t>PARAScope</w:t>
      </w:r>
      <w:proofErr w:type="spellEnd"/>
      <w:r w:rsidRPr="00FA686A">
        <w:rPr>
          <w:rFonts w:asciiTheme="majorHAnsi" w:hAnsiTheme="majorHAnsi" w:cstheme="majorHAnsi"/>
        </w:rPr>
        <w:t xml:space="preserve">, present to resident programs, track on PARA website, </w:t>
      </w:r>
      <w:proofErr w:type="spellStart"/>
      <w:r w:rsidRPr="00FA686A">
        <w:rPr>
          <w:rFonts w:asciiTheme="majorHAnsi" w:hAnsiTheme="majorHAnsi" w:cstheme="majorHAnsi"/>
        </w:rPr>
        <w:t>etc</w:t>
      </w:r>
      <w:proofErr w:type="spellEnd"/>
      <w:r w:rsidRPr="00FA686A">
        <w:rPr>
          <w:rFonts w:asciiTheme="majorHAnsi" w:hAnsiTheme="majorHAnsi" w:cstheme="majorHAnsi"/>
        </w:rPr>
        <w:t>)</w:t>
      </w:r>
    </w:p>
    <w:p w14:paraId="640F1F3A" w14:textId="5C77D52C" w:rsidR="00D457FF" w:rsidRPr="00FA686A" w:rsidRDefault="000D0806">
      <w:pPr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t xml:space="preserve"> </w:t>
      </w:r>
    </w:p>
    <w:p w14:paraId="332DCE23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7F49D4ED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4E7A7B7D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4BE039C2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7414AF06" w14:textId="77777777" w:rsidR="00D457FF" w:rsidRPr="00FA686A" w:rsidRDefault="00D457FF">
      <w:pPr>
        <w:rPr>
          <w:rFonts w:asciiTheme="majorHAnsi" w:hAnsiTheme="majorHAnsi" w:cstheme="majorHAnsi"/>
        </w:rPr>
      </w:pPr>
    </w:p>
    <w:p w14:paraId="566ACBF1" w14:textId="77777777" w:rsidR="00FA686A" w:rsidRPr="00FA686A" w:rsidRDefault="00FA686A" w:rsidP="00FA686A">
      <w:pPr>
        <w:pStyle w:val="Heading1"/>
        <w:rPr>
          <w:rFonts w:asciiTheme="majorHAnsi" w:hAnsiTheme="majorHAnsi" w:cstheme="majorHAnsi"/>
        </w:rPr>
      </w:pPr>
      <w:r w:rsidRPr="00FA686A">
        <w:rPr>
          <w:rFonts w:asciiTheme="majorHAnsi" w:hAnsiTheme="majorHAnsi" w:cstheme="majorHAnsi"/>
        </w:rPr>
        <w:lastRenderedPageBreak/>
        <w:t>How to cite</w:t>
      </w:r>
    </w:p>
    <w:p w14:paraId="5A1EC885" w14:textId="77777777" w:rsidR="00FA686A" w:rsidRPr="00FA686A" w:rsidRDefault="00FA686A" w:rsidP="00FA686A">
      <w:pPr>
        <w:rPr>
          <w:rFonts w:asciiTheme="majorHAnsi" w:hAnsiTheme="majorHAnsi" w:cstheme="majorHAnsi"/>
          <w:highlight w:val="yellow"/>
        </w:rPr>
      </w:pPr>
      <w:r w:rsidRPr="00FA686A">
        <w:rPr>
          <w:rFonts w:asciiTheme="majorHAnsi" w:hAnsiTheme="majorHAnsi" w:cstheme="majorHAnsi"/>
        </w:rPr>
        <w:t xml:space="preserve">Professional Association of Resident physicians of Alberta (PARA). PARA Equity Impact Assessment Tool. 2022 Feb. </w:t>
      </w:r>
      <w:r w:rsidRPr="00FA686A">
        <w:rPr>
          <w:rFonts w:asciiTheme="majorHAnsi" w:hAnsiTheme="majorHAnsi" w:cstheme="majorHAnsi"/>
          <w:highlight w:val="yellow"/>
        </w:rPr>
        <w:t>*Insert hyperlink*</w:t>
      </w:r>
    </w:p>
    <w:p w14:paraId="69FF8CB3" w14:textId="77777777" w:rsidR="00FA686A" w:rsidRPr="00FA686A" w:rsidRDefault="00FA686A" w:rsidP="00FA686A">
      <w:pPr>
        <w:pStyle w:val="Heading1"/>
        <w:rPr>
          <w:rFonts w:asciiTheme="majorHAnsi" w:hAnsiTheme="majorHAnsi" w:cstheme="majorHAnsi"/>
        </w:rPr>
      </w:pPr>
      <w:bookmarkStart w:id="5" w:name="_nty7u6h8utxx" w:colFirst="0" w:colLast="0"/>
      <w:bookmarkEnd w:id="5"/>
    </w:p>
    <w:p w14:paraId="0BC5AEEF" w14:textId="77777777" w:rsidR="00FA686A" w:rsidRPr="00FA686A" w:rsidRDefault="00FA686A" w:rsidP="00FA686A">
      <w:pPr>
        <w:pStyle w:val="Heading1"/>
        <w:rPr>
          <w:rFonts w:asciiTheme="majorHAnsi" w:hAnsiTheme="majorHAnsi" w:cstheme="majorHAnsi"/>
        </w:rPr>
      </w:pPr>
      <w:bookmarkStart w:id="6" w:name="_is9lsyl74syc" w:colFirst="0" w:colLast="0"/>
      <w:bookmarkEnd w:id="6"/>
      <w:r w:rsidRPr="00FA686A">
        <w:rPr>
          <w:rFonts w:asciiTheme="majorHAnsi" w:hAnsiTheme="majorHAnsi" w:cstheme="majorHAnsi"/>
        </w:rPr>
        <w:t>References</w:t>
      </w:r>
    </w:p>
    <w:p w14:paraId="39D4BCA0" w14:textId="77777777" w:rsidR="00FA686A" w:rsidRPr="00FA686A" w:rsidRDefault="00FA686A" w:rsidP="00FA686A">
      <w:pPr>
        <w:rPr>
          <w:rFonts w:asciiTheme="majorHAnsi" w:hAnsiTheme="majorHAnsi" w:cstheme="majorHAnsi"/>
          <w:sz w:val="16"/>
          <w:szCs w:val="16"/>
        </w:rPr>
      </w:pPr>
      <w:r w:rsidRPr="00FA686A">
        <w:rPr>
          <w:rFonts w:asciiTheme="majorHAnsi" w:hAnsiTheme="majorHAnsi" w:cstheme="majorHAnsi"/>
          <w:sz w:val="16"/>
          <w:szCs w:val="16"/>
        </w:rPr>
        <w:t xml:space="preserve">Government of Canada. Social determinants of health and health inequalities. Last modified: 2020-10-07. Most recently accessed February 8, 2021. </w:t>
      </w:r>
      <w:hyperlink r:id="rId8">
        <w:r w:rsidRPr="00FA686A">
          <w:rPr>
            <w:rFonts w:asciiTheme="majorHAnsi" w:hAnsiTheme="majorHAnsi" w:cstheme="majorHAnsi"/>
            <w:color w:val="1155CC"/>
            <w:sz w:val="16"/>
            <w:szCs w:val="16"/>
            <w:u w:val="single"/>
          </w:rPr>
          <w:t>https://www.canada.ca/en/public-health/services/health-promotion/population-health/what-determines-health.html</w:t>
        </w:r>
      </w:hyperlink>
    </w:p>
    <w:p w14:paraId="315509A3" w14:textId="77777777" w:rsidR="00FA686A" w:rsidRPr="00FA686A" w:rsidRDefault="00FA686A" w:rsidP="00FA686A">
      <w:pPr>
        <w:rPr>
          <w:rFonts w:asciiTheme="majorHAnsi" w:hAnsiTheme="majorHAnsi" w:cstheme="majorHAnsi"/>
          <w:sz w:val="16"/>
          <w:szCs w:val="16"/>
        </w:rPr>
      </w:pPr>
    </w:p>
    <w:p w14:paraId="265F7EF1" w14:textId="77777777" w:rsidR="00FA686A" w:rsidRPr="00FA686A" w:rsidRDefault="00FA686A" w:rsidP="00FA686A">
      <w:pPr>
        <w:rPr>
          <w:rFonts w:asciiTheme="majorHAnsi" w:hAnsiTheme="majorHAnsi" w:cstheme="majorHAnsi"/>
          <w:sz w:val="16"/>
          <w:szCs w:val="16"/>
        </w:rPr>
      </w:pPr>
      <w:r w:rsidRPr="00FA686A">
        <w:rPr>
          <w:rFonts w:asciiTheme="majorHAnsi" w:hAnsiTheme="majorHAnsi" w:cstheme="majorHAnsi"/>
          <w:sz w:val="16"/>
          <w:szCs w:val="16"/>
        </w:rPr>
        <w:t xml:space="preserve">National Collaborating Centre for Determinants of Health. (2020). A Guide to Assessment Tools for Organizational Health Equity Capacity. </w:t>
      </w:r>
      <w:proofErr w:type="spellStart"/>
      <w:r w:rsidRPr="00FA686A">
        <w:rPr>
          <w:rFonts w:asciiTheme="majorHAnsi" w:hAnsiTheme="majorHAnsi" w:cstheme="majorHAnsi"/>
          <w:sz w:val="16"/>
          <w:szCs w:val="16"/>
        </w:rPr>
        <w:t>Antigonish</w:t>
      </w:r>
      <w:proofErr w:type="spellEnd"/>
      <w:r w:rsidRPr="00FA686A">
        <w:rPr>
          <w:rFonts w:asciiTheme="majorHAnsi" w:hAnsiTheme="majorHAnsi" w:cstheme="majorHAnsi"/>
          <w:sz w:val="16"/>
          <w:szCs w:val="16"/>
        </w:rPr>
        <w:t xml:space="preserve">, NS: NCCDH, St. Francis Xavier University. Most recently accessed </w:t>
      </w:r>
      <w:proofErr w:type="spellStart"/>
      <w:r w:rsidRPr="00FA686A">
        <w:rPr>
          <w:rFonts w:asciiTheme="majorHAnsi" w:hAnsiTheme="majorHAnsi" w:cstheme="majorHAnsi"/>
          <w:sz w:val="16"/>
          <w:szCs w:val="16"/>
        </w:rPr>
        <w:t>Feburary</w:t>
      </w:r>
      <w:proofErr w:type="spellEnd"/>
      <w:r w:rsidRPr="00FA686A">
        <w:rPr>
          <w:rFonts w:asciiTheme="majorHAnsi" w:hAnsiTheme="majorHAnsi" w:cstheme="majorHAnsi"/>
          <w:sz w:val="16"/>
          <w:szCs w:val="16"/>
        </w:rPr>
        <w:t xml:space="preserve"> 8, 2021. https://nccdh.ca/resources/entry/OCI-KP-8-Guide-to-assessment-tools</w:t>
      </w:r>
    </w:p>
    <w:p w14:paraId="3895BD64" w14:textId="77777777" w:rsidR="00FA686A" w:rsidRPr="00FA686A" w:rsidRDefault="00FA686A" w:rsidP="00FA686A">
      <w:pPr>
        <w:rPr>
          <w:rFonts w:asciiTheme="majorHAnsi" w:hAnsiTheme="majorHAnsi" w:cstheme="majorHAnsi"/>
          <w:sz w:val="16"/>
          <w:szCs w:val="16"/>
        </w:rPr>
      </w:pPr>
    </w:p>
    <w:p w14:paraId="638F7700" w14:textId="77777777" w:rsidR="00FA686A" w:rsidRPr="00FA686A" w:rsidRDefault="00FA686A" w:rsidP="00FA686A">
      <w:pPr>
        <w:rPr>
          <w:rFonts w:asciiTheme="majorHAnsi" w:hAnsiTheme="majorHAnsi" w:cstheme="majorHAnsi"/>
          <w:sz w:val="16"/>
          <w:szCs w:val="16"/>
        </w:rPr>
      </w:pPr>
      <w:r w:rsidRPr="00FA686A">
        <w:rPr>
          <w:rFonts w:asciiTheme="majorHAnsi" w:hAnsiTheme="majorHAnsi" w:cstheme="majorHAnsi"/>
          <w:sz w:val="16"/>
          <w:szCs w:val="16"/>
        </w:rPr>
        <w:t xml:space="preserve">Ontario Ministry of Health and Long-Term Care. Health Equity Impact Assessment. May 2012. Most recently accessed February 8, 2021. </w:t>
      </w:r>
      <w:hyperlink r:id="rId9">
        <w:r w:rsidRPr="00FA686A">
          <w:rPr>
            <w:rFonts w:asciiTheme="majorHAnsi" w:hAnsiTheme="majorHAnsi" w:cstheme="majorHAnsi"/>
            <w:color w:val="1155CC"/>
            <w:sz w:val="16"/>
            <w:szCs w:val="16"/>
            <w:u w:val="single"/>
          </w:rPr>
          <w:t>http://www.health.gov.on.ca/en/pro/programs/heia/tool.aspx</w:t>
        </w:r>
      </w:hyperlink>
    </w:p>
    <w:p w14:paraId="11D51465" w14:textId="77777777" w:rsidR="00FA686A" w:rsidRPr="00FA686A" w:rsidRDefault="00FA686A" w:rsidP="00FA686A">
      <w:pPr>
        <w:rPr>
          <w:rFonts w:asciiTheme="majorHAnsi" w:hAnsiTheme="majorHAnsi" w:cstheme="majorHAnsi"/>
          <w:sz w:val="16"/>
          <w:szCs w:val="16"/>
        </w:rPr>
      </w:pPr>
    </w:p>
    <w:p w14:paraId="367C0E8E" w14:textId="77777777" w:rsidR="00FA686A" w:rsidRPr="00FA686A" w:rsidRDefault="00FA686A" w:rsidP="00FA686A">
      <w:pPr>
        <w:rPr>
          <w:rFonts w:asciiTheme="majorHAnsi" w:hAnsiTheme="majorHAnsi" w:cstheme="majorHAnsi"/>
          <w:sz w:val="16"/>
          <w:szCs w:val="16"/>
        </w:rPr>
      </w:pPr>
      <w:r w:rsidRPr="00FA686A">
        <w:rPr>
          <w:rFonts w:asciiTheme="majorHAnsi" w:hAnsiTheme="majorHAnsi" w:cstheme="majorHAnsi"/>
          <w:sz w:val="16"/>
          <w:szCs w:val="16"/>
        </w:rPr>
        <w:t xml:space="preserve">World Health Organization. Health in All Policies: Helsinki Statement. Framework for Country Action. 2014. 8th Global Conference on Health Promotion. Most recently accessed February 8, 2021. </w:t>
      </w:r>
      <w:hyperlink r:id="rId10">
        <w:r w:rsidRPr="00FA686A">
          <w:rPr>
            <w:rFonts w:asciiTheme="majorHAnsi" w:hAnsiTheme="majorHAnsi" w:cstheme="majorHAnsi"/>
            <w:color w:val="1155CC"/>
            <w:sz w:val="16"/>
            <w:szCs w:val="16"/>
            <w:u w:val="single"/>
          </w:rPr>
          <w:t>https://apps.who.int/iris/bitstream/handle/10665/112636/9789241506908_eng.pdf;jsessionid=1C9092675494A4A648A3BF46FF05C8CD?sequence=1</w:t>
        </w:r>
      </w:hyperlink>
      <w:r w:rsidRPr="00FA686A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88B7A6E" w14:textId="77777777" w:rsidR="00D457FF" w:rsidRDefault="00D457FF"/>
    <w:p w14:paraId="3CA72FDB" w14:textId="5509BA95" w:rsidR="00D457FF" w:rsidRDefault="00D457FF">
      <w:bookmarkStart w:id="7" w:name="_bdkmok2eoy78" w:colFirst="0" w:colLast="0"/>
      <w:bookmarkEnd w:id="7"/>
    </w:p>
    <w:sectPr w:rsidR="00D457FF" w:rsidSect="00FA686A">
      <w:head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0A9E" w14:textId="77777777" w:rsidR="000D0806" w:rsidRDefault="000D0806" w:rsidP="00FA686A">
      <w:pPr>
        <w:spacing w:line="240" w:lineRule="auto"/>
      </w:pPr>
      <w:r>
        <w:separator/>
      </w:r>
    </w:p>
  </w:endnote>
  <w:endnote w:type="continuationSeparator" w:id="0">
    <w:p w14:paraId="23F2A4DD" w14:textId="77777777" w:rsidR="000D0806" w:rsidRDefault="000D0806" w:rsidP="00FA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35CD3" w14:textId="77777777" w:rsidR="000D0806" w:rsidRDefault="000D0806" w:rsidP="00FA686A">
      <w:pPr>
        <w:spacing w:line="240" w:lineRule="auto"/>
      </w:pPr>
      <w:r>
        <w:separator/>
      </w:r>
    </w:p>
  </w:footnote>
  <w:footnote w:type="continuationSeparator" w:id="0">
    <w:p w14:paraId="7BFFC46B" w14:textId="77777777" w:rsidR="000D0806" w:rsidRDefault="000D0806" w:rsidP="00FA6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067C" w14:textId="7EB83C98" w:rsidR="00FA686A" w:rsidRDefault="00FA686A">
    <w:pPr>
      <w:pStyle w:val="Header"/>
    </w:pPr>
  </w:p>
  <w:p w14:paraId="6B68B963" w14:textId="77777777" w:rsidR="00FA686A" w:rsidRDefault="00FA6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FF98" w14:textId="0D7CA947" w:rsidR="00FA686A" w:rsidRDefault="00FA686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76C5B7" wp14:editId="00FF356F">
          <wp:simplePos x="0" y="0"/>
          <wp:positionH relativeFrom="margin">
            <wp:posOffset>2343690</wp:posOffset>
          </wp:positionH>
          <wp:positionV relativeFrom="margin">
            <wp:posOffset>-593387</wp:posOffset>
          </wp:positionV>
          <wp:extent cx="3287395" cy="1226185"/>
          <wp:effectExtent l="0" t="0" r="1905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AAB_LOGO_HORIZONTAL_FULL_STANDAR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739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147A7"/>
    <w:multiLevelType w:val="multilevel"/>
    <w:tmpl w:val="3434FA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1402E"/>
    <w:multiLevelType w:val="multilevel"/>
    <w:tmpl w:val="D5B88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4A2B28"/>
    <w:multiLevelType w:val="multilevel"/>
    <w:tmpl w:val="A07649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FF"/>
    <w:rsid w:val="000D0806"/>
    <w:rsid w:val="00D457FF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E7C8E"/>
  <w15:docId w15:val="{5C1D39F6-E136-9945-BAAC-9DA0FD8E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FA686A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68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6A"/>
  </w:style>
  <w:style w:type="paragraph" w:styleId="Footer">
    <w:name w:val="footer"/>
    <w:basedOn w:val="Normal"/>
    <w:link w:val="FooterChar"/>
    <w:uiPriority w:val="99"/>
    <w:unhideWhenUsed/>
    <w:rsid w:val="00FA68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health-promotion/population-health/what-determines-healt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s.who.int/iris/bitstream/handle/10665/112636/9789241506908_eng.pdf;jsessionid=1C9092675494A4A648A3BF46FF05C8CD?sequen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on.ca/en/pro/programs/heia/tool.asp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Raworth</cp:lastModifiedBy>
  <cp:revision>2</cp:revision>
  <dcterms:created xsi:type="dcterms:W3CDTF">2022-03-01T00:37:00Z</dcterms:created>
  <dcterms:modified xsi:type="dcterms:W3CDTF">2022-03-01T00:43:00Z</dcterms:modified>
</cp:coreProperties>
</file>