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BF8C" w14:textId="77777777" w:rsidR="00D17DDF" w:rsidRDefault="00D17DDF">
      <w:pPr>
        <w:pStyle w:val="Heading1"/>
        <w:rPr>
          <w:rFonts w:asciiTheme="majorHAnsi" w:hAnsiTheme="majorHAnsi" w:cstheme="majorHAnsi"/>
        </w:rPr>
      </w:pPr>
    </w:p>
    <w:p w14:paraId="3B80E53F" w14:textId="77777777" w:rsidR="00D17DDF" w:rsidRDefault="00D17DDF">
      <w:pPr>
        <w:pStyle w:val="Heading1"/>
        <w:rPr>
          <w:rFonts w:asciiTheme="majorHAnsi" w:hAnsiTheme="majorHAnsi" w:cstheme="majorHAnsi"/>
        </w:rPr>
      </w:pPr>
    </w:p>
    <w:p w14:paraId="737C8901" w14:textId="2427BCCA" w:rsidR="003C12E6" w:rsidRPr="001E056E" w:rsidRDefault="00D17DDF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EXAMPLE: </w:t>
      </w:r>
      <w:r w:rsidR="00FA4230" w:rsidRPr="001E056E">
        <w:rPr>
          <w:rFonts w:asciiTheme="majorHAnsi" w:hAnsiTheme="majorHAnsi" w:cstheme="majorHAnsi"/>
        </w:rPr>
        <w:t>PARA Equity Impact Assessment (EIA) Tool</w:t>
      </w:r>
      <w:r w:rsidR="001E056E">
        <w:rPr>
          <w:rFonts w:asciiTheme="majorHAnsi" w:hAnsiTheme="majorHAnsi" w:cstheme="majorHAnsi"/>
        </w:rPr>
        <w:t xml:space="preserve"> </w:t>
      </w:r>
    </w:p>
    <w:p w14:paraId="0BA0D0E5" w14:textId="15FA3CCB" w:rsidR="003C12E6" w:rsidRPr="001E056E" w:rsidRDefault="00FA4230">
      <w:pPr>
        <w:rPr>
          <w:rFonts w:asciiTheme="majorHAnsi" w:hAnsiTheme="majorHAnsi" w:cstheme="majorHAnsi"/>
        </w:rPr>
      </w:pPr>
      <w:r w:rsidRPr="001E056E">
        <w:rPr>
          <w:rFonts w:asciiTheme="majorHAnsi" w:hAnsiTheme="majorHAnsi" w:cstheme="majorHAnsi"/>
        </w:rPr>
        <w:t>Date of session: November 30, 2021</w:t>
      </w:r>
    </w:p>
    <w:p w14:paraId="337A9977" w14:textId="77777777" w:rsidR="003C12E6" w:rsidRPr="001E056E" w:rsidRDefault="003C12E6">
      <w:pPr>
        <w:rPr>
          <w:rFonts w:asciiTheme="majorHAnsi" w:hAnsiTheme="majorHAnsi" w:cstheme="majorHAnsi"/>
          <w:i/>
        </w:rPr>
      </w:pPr>
    </w:p>
    <w:p w14:paraId="015E2D85" w14:textId="4255D0DF" w:rsidR="003C12E6" w:rsidRPr="001E056E" w:rsidRDefault="00771FCC">
      <w:pPr>
        <w:pStyle w:val="Heading2"/>
        <w:rPr>
          <w:rFonts w:asciiTheme="majorHAnsi" w:hAnsiTheme="majorHAnsi" w:cstheme="majorHAnsi"/>
        </w:rPr>
      </w:pPr>
      <w:bookmarkStart w:id="0" w:name="_hj5y7989f3nq" w:colFirst="0" w:colLast="0"/>
      <w:bookmarkEnd w:id="0"/>
      <w:r>
        <w:rPr>
          <w:rFonts w:asciiTheme="majorHAnsi" w:hAnsiTheme="majorHAnsi" w:cstheme="majorHAnsi"/>
        </w:rPr>
        <w:t>Starting (pre-EIA) d</w:t>
      </w:r>
      <w:bookmarkStart w:id="1" w:name="_GoBack"/>
      <w:bookmarkEnd w:id="1"/>
      <w:r w:rsidR="00FA4230" w:rsidRPr="001E056E">
        <w:rPr>
          <w:rFonts w:asciiTheme="majorHAnsi" w:hAnsiTheme="majorHAnsi" w:cstheme="majorHAnsi"/>
        </w:rPr>
        <w:t xml:space="preserve">escription of event </w:t>
      </w:r>
    </w:p>
    <w:p w14:paraId="1504FF24" w14:textId="77777777" w:rsidR="003C12E6" w:rsidRPr="001E056E" w:rsidRDefault="00FA4230">
      <w:pPr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>March 2022: Happiness is… (complete the sentence)</w:t>
      </w:r>
    </w:p>
    <w:p w14:paraId="7BBCC7EA" w14:textId="77777777" w:rsidR="003C12E6" w:rsidRPr="001E056E" w:rsidRDefault="00FA4230">
      <w:pPr>
        <w:numPr>
          <w:ilvl w:val="0"/>
          <w:numId w:val="1"/>
        </w:numPr>
        <w:spacing w:before="240"/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>Happiness is sleeping in late on a Sunday.</w:t>
      </w:r>
    </w:p>
    <w:p w14:paraId="144E5E6C" w14:textId="77777777" w:rsidR="003C12E6" w:rsidRPr="001E056E" w:rsidRDefault="00FA4230">
      <w:pPr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>Happiness is going for a walk with my spouse and dog.</w:t>
      </w:r>
    </w:p>
    <w:p w14:paraId="1D892197" w14:textId="77777777" w:rsidR="003C12E6" w:rsidRPr="001E056E" w:rsidRDefault="00FA4230">
      <w:pPr>
        <w:numPr>
          <w:ilvl w:val="0"/>
          <w:numId w:val="1"/>
        </w:numPr>
        <w:spacing w:after="240"/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>Happiness is clearing the garden for spring planting.</w:t>
      </w:r>
    </w:p>
    <w:p w14:paraId="30DA54DB" w14:textId="77777777" w:rsidR="003C12E6" w:rsidRPr="001E056E" w:rsidRDefault="00FA4230">
      <w:pPr>
        <w:spacing w:before="240" w:after="240"/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>This March PARA would like to know what happiness looks like to you. Send a quick email to Robin completing the sentence “happiness is…” and you will be entered into draw for one of ten $50.00 gift cards for something that makes you happy.</w:t>
      </w:r>
    </w:p>
    <w:p w14:paraId="42F61579" w14:textId="77777777" w:rsidR="003C12E6" w:rsidRPr="001E056E" w:rsidRDefault="00FA4230">
      <w:pPr>
        <w:spacing w:before="240" w:after="240"/>
        <w:rPr>
          <w:rFonts w:asciiTheme="majorHAnsi" w:hAnsiTheme="majorHAnsi" w:cstheme="majorHAnsi"/>
          <w:i/>
        </w:rPr>
      </w:pPr>
      <w:r w:rsidRPr="001E056E">
        <w:rPr>
          <w:rFonts w:asciiTheme="majorHAnsi" w:hAnsiTheme="majorHAnsi" w:cstheme="majorHAnsi"/>
          <w:i/>
        </w:rPr>
        <w:t xml:space="preserve">Submissions need to be mailed before March 27, 2022. We’ll share your quote on social media and the PARA website, but personal information will not be included. </w:t>
      </w:r>
    </w:p>
    <w:p w14:paraId="75A29A78" w14:textId="77777777" w:rsidR="003C12E6" w:rsidRDefault="00FA4230">
      <w:pPr>
        <w:pStyle w:val="Heading2"/>
      </w:pPr>
      <w:bookmarkStart w:id="2" w:name="_b8xkkir1pnbc" w:colFirst="0" w:colLast="0"/>
      <w:bookmarkEnd w:id="2"/>
      <w:r>
        <w:br w:type="page"/>
      </w:r>
    </w:p>
    <w:p w14:paraId="5913EC86" w14:textId="0680A21F" w:rsidR="00D17DDF" w:rsidRDefault="00D17DDF">
      <w:pPr>
        <w:pStyle w:val="Heading2"/>
        <w:rPr>
          <w:rFonts w:asciiTheme="majorHAnsi" w:hAnsiTheme="majorHAnsi" w:cstheme="majorHAnsi"/>
        </w:rPr>
      </w:pPr>
      <w:bookmarkStart w:id="3" w:name="_fxpjzzkv81az" w:colFirst="0" w:colLast="0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2096EF" wp14:editId="03C8ADD9">
            <wp:simplePos x="0" y="0"/>
            <wp:positionH relativeFrom="margin">
              <wp:posOffset>2791298</wp:posOffset>
            </wp:positionH>
            <wp:positionV relativeFrom="margin">
              <wp:posOffset>-561772</wp:posOffset>
            </wp:positionV>
            <wp:extent cx="3287395" cy="1226185"/>
            <wp:effectExtent l="0" t="0" r="190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AB_LOGO_HORIZONTAL_FULL_STANDAR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75A06" w14:textId="77777777" w:rsidR="008E53B9" w:rsidRDefault="008E53B9" w:rsidP="00D17DDF">
      <w:pPr>
        <w:rPr>
          <w:rFonts w:asciiTheme="majorHAnsi" w:hAnsiTheme="majorHAnsi" w:cstheme="majorHAnsi"/>
          <w:sz w:val="32"/>
          <w:szCs w:val="32"/>
        </w:rPr>
      </w:pPr>
    </w:p>
    <w:p w14:paraId="4CDF02D8" w14:textId="77777777" w:rsidR="008E53B9" w:rsidRDefault="008E53B9" w:rsidP="00D17DDF"/>
    <w:p w14:paraId="2E0C9683" w14:textId="7DE7FDC2" w:rsidR="008E53B9" w:rsidRDefault="00FA4230" w:rsidP="00D17DDF">
      <w:r w:rsidRPr="001E056E">
        <w:t xml:space="preserve">Notes from EIA </w:t>
      </w:r>
      <w:r w:rsidRPr="00D17DDF">
        <w:t>discussion</w:t>
      </w:r>
      <w:r w:rsidR="00D17DDF">
        <w:t xml:space="preserve"> </w:t>
      </w:r>
      <w:r w:rsidR="00B11053">
        <w:t>with PARA’s Community and Well-Being Committee</w:t>
      </w:r>
    </w:p>
    <w:p w14:paraId="5DF17282" w14:textId="227CEFEA" w:rsidR="003C12E6" w:rsidRPr="00D17DDF" w:rsidRDefault="00FA4230" w:rsidP="00D17DDF">
      <w:r w:rsidRPr="00D17DDF">
        <w:t>Action</w:t>
      </w:r>
      <w:r w:rsidRPr="001E056E">
        <w:t xml:space="preserve"> items from discussion are in bold</w:t>
      </w:r>
    </w:p>
    <w:p w14:paraId="577B9A91" w14:textId="77777777" w:rsidR="003C12E6" w:rsidRPr="001E056E" w:rsidRDefault="003C12E6">
      <w:pPr>
        <w:rPr>
          <w:rFonts w:asciiTheme="majorHAnsi" w:hAnsiTheme="majorHAnsi" w:cstheme="majorHAnsi"/>
        </w:rPr>
      </w:pPr>
    </w:p>
    <w:tbl>
      <w:tblPr>
        <w:tblStyle w:val="a"/>
        <w:tblW w:w="1434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5760"/>
        <w:gridCol w:w="6615"/>
      </w:tblGrid>
      <w:tr w:rsidR="003C12E6" w:rsidRPr="001E056E" w14:paraId="24C2B020" w14:textId="77777777" w:rsidTr="008E53B9">
        <w:trPr>
          <w:trHeight w:val="420"/>
        </w:trPr>
        <w:tc>
          <w:tcPr>
            <w:tcW w:w="19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8DDC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60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FAF3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</w:rPr>
              <w:t xml:space="preserve">Positive Impacts + </w:t>
            </w:r>
            <w:r w:rsidRPr="001E056E">
              <w:rPr>
                <w:rFonts w:asciiTheme="majorHAnsi" w:hAnsiTheme="majorHAnsi" w:cstheme="majorHAnsi"/>
                <w:b/>
              </w:rPr>
              <w:t>how to maximize</w:t>
            </w:r>
          </w:p>
        </w:tc>
        <w:tc>
          <w:tcPr>
            <w:tcW w:w="6615" w:type="dxa"/>
            <w:shd w:val="clear" w:color="auto" w:fill="20CB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27CC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</w:rPr>
              <w:t xml:space="preserve">Unintended Negative Impacts + </w:t>
            </w:r>
            <w:r w:rsidRPr="001E056E">
              <w:rPr>
                <w:rFonts w:asciiTheme="majorHAnsi" w:hAnsiTheme="majorHAnsi" w:cstheme="majorHAnsi"/>
                <w:b/>
              </w:rPr>
              <w:t>how to minimize</w:t>
            </w:r>
          </w:p>
        </w:tc>
      </w:tr>
      <w:tr w:rsidR="003C12E6" w:rsidRPr="001E056E" w14:paraId="76C953CC" w14:textId="77777777" w:rsidTr="008E53B9">
        <w:trPr>
          <w:trHeight w:val="420"/>
        </w:trPr>
        <w:tc>
          <w:tcPr>
            <w:tcW w:w="14340" w:type="dxa"/>
            <w:gridSpan w:val="3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8E92" w14:textId="77777777" w:rsidR="003C12E6" w:rsidRPr="008E53B9" w:rsidRDefault="00FA42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53B9">
              <w:rPr>
                <w:rFonts w:asciiTheme="majorHAnsi" w:hAnsiTheme="majorHAnsi" w:cstheme="majorHAnsi"/>
                <w:b/>
                <w:color w:val="FFFFFF" w:themeColor="background1"/>
              </w:rPr>
              <w:t>WORK-RELATED RESIDENT GROUPS</w:t>
            </w:r>
          </w:p>
        </w:tc>
      </w:tr>
      <w:tr w:rsidR="003C12E6" w:rsidRPr="001E056E" w14:paraId="69B2D9C5" w14:textId="77777777" w:rsidTr="008E53B9">
        <w:trPr>
          <w:trHeight w:val="42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B45E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People working rurally/remotely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4C58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</w:rPr>
              <w:t>These residents often can’t participate in PARA events/activities, but this event is very accessible event to rural/remote residents</w:t>
            </w:r>
          </w:p>
          <w:p w14:paraId="2561AFC6" w14:textId="77777777" w:rsidR="003C12E6" w:rsidRPr="001E056E" w:rsidRDefault="00FA4230">
            <w:pPr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  <w:b/>
              </w:rPr>
              <w:t xml:space="preserve">Consider focusing our </w:t>
            </w:r>
            <w:proofErr w:type="spellStart"/>
            <w:r w:rsidRPr="001E056E">
              <w:rPr>
                <w:rFonts w:asciiTheme="majorHAnsi" w:hAnsiTheme="majorHAnsi" w:cstheme="majorHAnsi"/>
                <w:b/>
              </w:rPr>
              <w:t>comms</w:t>
            </w:r>
            <w:proofErr w:type="spellEnd"/>
            <w:r w:rsidRPr="001E056E">
              <w:rPr>
                <w:rFonts w:asciiTheme="majorHAnsi" w:hAnsiTheme="majorHAnsi" w:cstheme="majorHAnsi"/>
                <w:b/>
              </w:rPr>
              <w:t xml:space="preserve"> towards rural programs</w:t>
            </w:r>
          </w:p>
          <w:p w14:paraId="2FA116AC" w14:textId="77777777" w:rsidR="003C12E6" w:rsidRPr="001E056E" w:rsidRDefault="00FA4230">
            <w:pPr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  <w:b/>
              </w:rPr>
              <w:t>Have a week dedicated to rural/remote residents</w:t>
            </w:r>
          </w:p>
          <w:p w14:paraId="51EF92DC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  <w:b/>
              </w:rPr>
              <w:t>Also ensure gift cards distributed are able to be used in rural areas (</w:t>
            </w:r>
            <w:proofErr w:type="spellStart"/>
            <w:r w:rsidRPr="001E056E">
              <w:rPr>
                <w:rFonts w:asciiTheme="majorHAnsi" w:hAnsiTheme="majorHAnsi" w:cstheme="majorHAnsi"/>
                <w:b/>
              </w:rPr>
              <w:t>ie</w:t>
            </w:r>
            <w:proofErr w:type="spellEnd"/>
            <w:r w:rsidRPr="001E056E">
              <w:rPr>
                <w:rFonts w:asciiTheme="majorHAnsi" w:hAnsiTheme="majorHAnsi" w:cstheme="majorHAnsi"/>
                <w:b/>
              </w:rPr>
              <w:t xml:space="preserve"> avoid meal delivery services like Uber Eats)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DB9C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329516B8" w14:textId="77777777" w:rsidTr="008E53B9">
        <w:trPr>
          <w:trHeight w:val="42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3C34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IMGs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3E01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7F29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53CBD1F0" w14:textId="77777777" w:rsidTr="008E53B9">
        <w:trPr>
          <w:trHeight w:val="42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6DFB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PGY-1s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078F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B678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134FA775" w14:textId="77777777" w:rsidTr="008E53B9">
        <w:trPr>
          <w:trHeight w:val="38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D4CE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Recently Relocated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BCE6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AA21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45B9FCD8" w14:textId="77777777" w:rsidTr="008E53B9">
        <w:trPr>
          <w:trHeight w:val="38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E375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Residents on leave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E2F0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C62A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767746C3" w14:textId="77777777" w:rsidTr="008E53B9">
        <w:trPr>
          <w:trHeight w:val="447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D52C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 xml:space="preserve">Residents with Heavy Call/Workload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9F46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34C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32E4A496" w14:textId="77777777" w:rsidTr="008E53B9">
        <w:trPr>
          <w:trHeight w:val="38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A637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lastRenderedPageBreak/>
              <w:t xml:space="preserve">Shift-work based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8418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46B7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24E7D828" w14:textId="77777777" w:rsidTr="008E53B9">
        <w:trPr>
          <w:trHeight w:val="38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DA9F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Residents from Small Programs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CE37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069F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0A55BA53" w14:textId="77777777" w:rsidTr="008E53B9">
        <w:trPr>
          <w:trHeight w:val="380"/>
        </w:trPr>
        <w:tc>
          <w:tcPr>
            <w:tcW w:w="1965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3A90" w14:textId="77777777" w:rsidR="003C12E6" w:rsidRPr="008E53B9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</w:pPr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 xml:space="preserve">Other groups (non-clinical, Higher Risk Rotations, </w:t>
            </w:r>
            <w:proofErr w:type="spellStart"/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etc</w:t>
            </w:r>
            <w:proofErr w:type="spellEnd"/>
            <w:r w:rsidRPr="008E53B9">
              <w:rPr>
                <w:rFonts w:asciiTheme="majorHAnsi" w:hAnsiTheme="majorHAnsi" w:cstheme="majorHAnsi"/>
                <w:color w:val="FFFFFF" w:themeColor="background1"/>
                <w:sz w:val="21"/>
                <w:szCs w:val="18"/>
              </w:rPr>
              <w:t>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A3D2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6C5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5D786362" w14:textId="77777777" w:rsidTr="008E53B9">
        <w:trPr>
          <w:trHeight w:val="420"/>
        </w:trPr>
        <w:tc>
          <w:tcPr>
            <w:tcW w:w="14340" w:type="dxa"/>
            <w:gridSpan w:val="3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BEC6" w14:textId="77777777" w:rsidR="003C12E6" w:rsidRPr="001E056E" w:rsidRDefault="00FA42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1E056E">
              <w:rPr>
                <w:rFonts w:asciiTheme="majorHAnsi" w:hAnsiTheme="majorHAnsi" w:cstheme="majorHAnsi"/>
                <w:b/>
                <w:sz w:val="21"/>
              </w:rPr>
              <w:t>OTHER RESIDENT GROUPS</w:t>
            </w:r>
          </w:p>
        </w:tc>
      </w:tr>
      <w:tr w:rsidR="003C12E6" w:rsidRPr="001E056E" w14:paraId="5EBDFB97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7BF1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Financially constrained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C87C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014E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</w:rPr>
              <w:t>May not be able to afford extravagant vacations/activities that cost money. Could feel excluded or badly about their financial situation when seeing posts about this giveaway</w:t>
            </w:r>
          </w:p>
          <w:p w14:paraId="4E7AF962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  <w:b/>
              </w:rPr>
              <w:t>Mitigation: reframe focus towards “small victories” or “small things that bring happiness”. Promote happiness that is low cost/low barrier to access</w:t>
            </w:r>
          </w:p>
        </w:tc>
      </w:tr>
      <w:tr w:rsidR="003C12E6" w:rsidRPr="001E056E" w14:paraId="0D9087EF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CBA3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Parenting/caregiving for family members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08C1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941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58B8E50B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912B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Limited support networks (single, away from hometown)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2B69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40A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1592781D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B9D4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Various religious affiliations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C3E6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05C6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263742C0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BBB1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Diverse Cultures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2FE6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</w:rPr>
              <w:t>Spring Equinox is in March, residents may be keen to integrate these celebrations</w:t>
            </w:r>
          </w:p>
          <w:p w14:paraId="11D93FAF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  <w:b/>
              </w:rPr>
              <w:t>Will add Spring Equinox celebrations to PARA communications about things that could bring happiness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C7B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1A611A6D" w14:textId="77777777" w:rsidTr="008E53B9">
        <w:trPr>
          <w:trHeight w:val="342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9638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lastRenderedPageBreak/>
              <w:t>Racialized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AD59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025A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4FC8FA41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985F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Indigenous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4703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F10A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54E34FD7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5F8F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Newcomers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E9E2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6389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6093FBE2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D97A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Physical abilities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E627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EEC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3A28B898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F986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Dietary restrictions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5D26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61F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0F214642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73F6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Mental health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8EEA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8C16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</w:rPr>
              <w:t xml:space="preserve">Potentially triggering for residents who are struggling </w:t>
            </w:r>
          </w:p>
          <w:p w14:paraId="2411031B" w14:textId="77777777" w:rsidR="003C12E6" w:rsidRPr="001E056E" w:rsidRDefault="00FA4230">
            <w:pPr>
              <w:rPr>
                <w:rFonts w:asciiTheme="majorHAnsi" w:hAnsiTheme="majorHAnsi" w:cstheme="majorHAnsi"/>
                <w:b/>
              </w:rPr>
            </w:pPr>
            <w:r w:rsidRPr="001E056E">
              <w:rPr>
                <w:rFonts w:asciiTheme="majorHAnsi" w:hAnsiTheme="majorHAnsi" w:cstheme="majorHAnsi"/>
                <w:b/>
              </w:rPr>
              <w:t>Change language of event to celebrate “small successes” or “what did you do today to make yourself happy”</w:t>
            </w:r>
          </w:p>
          <w:p w14:paraId="3BB0F7DA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  <w:b/>
              </w:rPr>
              <w:t>Interpersonal perspective: “what did you do today to make a colleague happy”</w:t>
            </w:r>
          </w:p>
        </w:tc>
      </w:tr>
      <w:tr w:rsidR="003C12E6" w:rsidRPr="001E056E" w14:paraId="5F0308BF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0036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Neurodivergence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CDDD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849B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46DBFAAC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6A72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 xml:space="preserve">Gender/Sexual identity 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4FD5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95F7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6FF03117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F71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Various Age Groups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B531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F9EA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C12E6" w:rsidRPr="001E056E" w14:paraId="2E459B42" w14:textId="77777777" w:rsidTr="008E53B9">
        <w:trPr>
          <w:trHeight w:val="380"/>
        </w:trPr>
        <w:tc>
          <w:tcPr>
            <w:tcW w:w="1965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2A33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18"/>
              </w:rPr>
            </w:pPr>
            <w:r w:rsidRPr="001E056E">
              <w:rPr>
                <w:rFonts w:asciiTheme="majorHAnsi" w:hAnsiTheme="majorHAnsi" w:cstheme="majorHAnsi"/>
                <w:sz w:val="21"/>
                <w:szCs w:val="18"/>
              </w:rPr>
              <w:t>Other Groups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E7A1" w14:textId="77777777" w:rsidR="003C12E6" w:rsidRPr="001E056E" w:rsidRDefault="00FA423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1E056E">
              <w:rPr>
                <w:rFonts w:asciiTheme="majorHAnsi" w:hAnsiTheme="majorHAnsi" w:cstheme="majorHAnsi"/>
              </w:rPr>
              <w:t>March 20th is International Day of Happiness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E420" w14:textId="77777777" w:rsidR="003C12E6" w:rsidRPr="001E056E" w:rsidRDefault="003C12E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F6201BA" w14:textId="77777777" w:rsidR="003C12E6" w:rsidRPr="001E056E" w:rsidRDefault="003C12E6">
      <w:pPr>
        <w:rPr>
          <w:rFonts w:asciiTheme="majorHAnsi" w:hAnsiTheme="majorHAnsi" w:cstheme="majorHAnsi"/>
        </w:rPr>
      </w:pPr>
    </w:p>
    <w:sectPr w:rsidR="003C12E6" w:rsidRPr="001E056E" w:rsidSect="00D17DDF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7756" w14:textId="77777777" w:rsidR="00B96932" w:rsidRDefault="00B96932" w:rsidP="00D17DDF">
      <w:pPr>
        <w:spacing w:line="240" w:lineRule="auto"/>
      </w:pPr>
      <w:r>
        <w:separator/>
      </w:r>
    </w:p>
  </w:endnote>
  <w:endnote w:type="continuationSeparator" w:id="0">
    <w:p w14:paraId="2D427A09" w14:textId="77777777" w:rsidR="00B96932" w:rsidRDefault="00B96932" w:rsidP="00D1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1270" w14:textId="77777777" w:rsidR="00B96932" w:rsidRDefault="00B96932" w:rsidP="00D17DDF">
      <w:pPr>
        <w:spacing w:line="240" w:lineRule="auto"/>
      </w:pPr>
      <w:r>
        <w:separator/>
      </w:r>
    </w:p>
  </w:footnote>
  <w:footnote w:type="continuationSeparator" w:id="0">
    <w:p w14:paraId="51936307" w14:textId="77777777" w:rsidR="00B96932" w:rsidRDefault="00B96932" w:rsidP="00D17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3E3A" w14:textId="691C3273" w:rsidR="00D17DDF" w:rsidRDefault="00D17DDF">
    <w:pPr>
      <w:pStyle w:val="Header"/>
    </w:pPr>
  </w:p>
  <w:p w14:paraId="47ACB52A" w14:textId="1CF445BB" w:rsidR="00D17DDF" w:rsidRDefault="00D17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C91C" w14:textId="6223EA2D" w:rsidR="00D17DDF" w:rsidRDefault="00D17D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BB8FC" wp14:editId="052FB568">
          <wp:simplePos x="0" y="0"/>
          <wp:positionH relativeFrom="margin">
            <wp:posOffset>2304780</wp:posOffset>
          </wp:positionH>
          <wp:positionV relativeFrom="margin">
            <wp:posOffset>-214008</wp:posOffset>
          </wp:positionV>
          <wp:extent cx="3287395" cy="1226185"/>
          <wp:effectExtent l="0" t="0" r="190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AB_LOGO_HORIZONTAL_FULL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39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65B"/>
    <w:multiLevelType w:val="multilevel"/>
    <w:tmpl w:val="BBC4C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1E056E"/>
    <w:rsid w:val="003C12E6"/>
    <w:rsid w:val="00771FCC"/>
    <w:rsid w:val="008E53B9"/>
    <w:rsid w:val="00B11053"/>
    <w:rsid w:val="00B96932"/>
    <w:rsid w:val="00D17DDF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B227"/>
  <w15:docId w15:val="{5C1D39F6-E136-9945-BAAC-9DA0FD8E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E056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D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DF"/>
  </w:style>
  <w:style w:type="paragraph" w:styleId="Footer">
    <w:name w:val="footer"/>
    <w:basedOn w:val="Normal"/>
    <w:link w:val="FooterChar"/>
    <w:uiPriority w:val="99"/>
    <w:unhideWhenUsed/>
    <w:rsid w:val="00D17D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Raworth</cp:lastModifiedBy>
  <cp:revision>4</cp:revision>
  <dcterms:created xsi:type="dcterms:W3CDTF">2022-02-28T23:46:00Z</dcterms:created>
  <dcterms:modified xsi:type="dcterms:W3CDTF">2022-03-02T21:43:00Z</dcterms:modified>
</cp:coreProperties>
</file>